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195" w:hanging="195" w:hangingChars="93"/>
        <w:rPr>
          <w:rFonts w:hint="eastAsia" w:ascii="ＭＳ 明朝" w:hAnsi="ＭＳ 明朝"/>
          <w:sz w:val="24"/>
        </w:rPr>
      </w:pPr>
      <w:r>
        <w:rPr>
          <w:rFonts w:hint="eastAsia" w:ascii="ＭＳ 明朝" w:hAnsi="ＭＳ 明朝"/>
          <w:sz w:val="24"/>
        </w:rPr>
        <w:t>静岡県「建設業者の不正行為等に対する監督処分の基準」の改正について</w:t>
      </w:r>
    </w:p>
    <w:p>
      <w:pPr>
        <w:pStyle w:val="0"/>
        <w:ind w:left="195" w:hanging="195" w:hangingChars="93"/>
        <w:rPr>
          <w:rFonts w:hint="eastAsia" w:ascii="ＭＳ 明朝" w:hAnsi="ＭＳ 明朝"/>
          <w:sz w:val="24"/>
        </w:rPr>
      </w:pPr>
    </w:p>
    <w:p>
      <w:pPr>
        <w:pStyle w:val="0"/>
        <w:ind w:left="195" w:hanging="195" w:hangingChars="93"/>
        <w:rPr>
          <w:rFonts w:hint="eastAsia" w:asciiTheme="minorEastAsia" w:hAnsiTheme="minorEastAsia" w:eastAsiaTheme="minorEastAsia"/>
          <w:sz w:val="24"/>
        </w:rPr>
      </w:pPr>
      <w:r>
        <w:rPr>
          <w:rFonts w:hint="eastAsia" w:asciiTheme="minorEastAsia" w:hAnsiTheme="minorEastAsia" w:eastAsiaTheme="minorEastAsia"/>
          <w:sz w:val="24"/>
        </w:rPr>
        <w:t>１　改正する理由</w:t>
      </w:r>
    </w:p>
    <w:p>
      <w:pPr>
        <w:pStyle w:val="0"/>
        <w:ind w:left="193" w:leftChars="92" w:firstLine="183" w:firstLineChars="87"/>
        <w:rPr>
          <w:rFonts w:hint="eastAsia" w:asciiTheme="minorEastAsia" w:hAnsiTheme="minorEastAsia" w:eastAsiaTheme="minorEastAsia"/>
          <w:sz w:val="24"/>
        </w:rPr>
      </w:pPr>
      <w:r>
        <w:rPr>
          <w:rFonts w:hint="eastAsia" w:asciiTheme="minorEastAsia" w:hAnsiTheme="minorEastAsia" w:eastAsiaTheme="minorEastAsia"/>
          <w:sz w:val="24"/>
        </w:rPr>
        <w:t>国土交通省は、建設業の働き方改革の推進、建設現場の生産性向上及び持続可能な事業環境の確保を目的に、令和元年６月に建設業法（以下「法」という。）の改正を行い、令和２年</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1</w:t>
      </w:r>
      <w:r>
        <w:rPr>
          <w:rFonts w:hint="eastAsia" w:asciiTheme="minorEastAsia" w:hAnsiTheme="minorEastAsia" w:eastAsiaTheme="minorEastAsia"/>
          <w:sz w:val="24"/>
        </w:rPr>
        <w:t>日に改正建設業法施行通達が施行されたことにより、許可基準の見直し、著しく短い工期の禁止及び建設資材製造業者等への勧告制度制定等が導入された。これに伴い、国は法の改正内容に監督処分基準を適合させることを目的に、監督処分基準を改正した。</w:t>
      </w:r>
    </w:p>
    <w:p>
      <w:pPr>
        <w:pStyle w:val="0"/>
        <w:ind w:left="193" w:leftChars="92" w:firstLine="183" w:firstLineChars="87"/>
        <w:rPr>
          <w:rFonts w:hint="eastAsia" w:asciiTheme="minorEastAsia" w:hAnsiTheme="minorEastAsia" w:eastAsiaTheme="minorEastAsia"/>
          <w:sz w:val="24"/>
        </w:rPr>
      </w:pPr>
      <w:r>
        <w:rPr>
          <w:rFonts w:hint="eastAsia" w:asciiTheme="minorEastAsia" w:hAnsiTheme="minorEastAsia" w:eastAsiaTheme="minorEastAsia"/>
          <w:sz w:val="24"/>
        </w:rPr>
        <w:t>静岡県「建設業者の不正行為等に対する監督処分の基準」（以下「県基準」という。）は一部（監督処分の対象地域及び許可を受けないで建設業を営む者に対する指導監督）を除き、国の監督処分基準に準じて作成していることから、今回の国の改正内容に準じて県基準を改正する。</w:t>
      </w:r>
    </w:p>
    <w:p>
      <w:pPr>
        <w:pStyle w:val="0"/>
        <w:ind w:left="195" w:hanging="195" w:hangingChars="93"/>
        <w:rPr>
          <w:rFonts w:hint="eastAsia" w:asciiTheme="minorEastAsia" w:hAnsiTheme="minorEastAsia" w:eastAsiaTheme="minorEastAsia"/>
          <w:sz w:val="24"/>
        </w:rPr>
      </w:pPr>
    </w:p>
    <w:p>
      <w:pPr>
        <w:pStyle w:val="0"/>
        <w:ind w:left="195" w:hanging="195" w:hangingChars="93"/>
        <w:rPr>
          <w:rFonts w:hint="eastAsia" w:asciiTheme="minorEastAsia" w:hAnsiTheme="minorEastAsia" w:eastAsiaTheme="minorEastAsia"/>
          <w:sz w:val="24"/>
        </w:rPr>
      </w:pPr>
      <w:r>
        <w:rPr>
          <w:rFonts w:hint="eastAsia" w:asciiTheme="minorEastAsia" w:hAnsiTheme="minorEastAsia" w:eastAsiaTheme="minorEastAsia"/>
          <w:sz w:val="24"/>
        </w:rPr>
        <w:t>２　県基準改正の概要</w:t>
      </w:r>
    </w:p>
    <w:p>
      <w:pPr>
        <w:pStyle w:val="0"/>
        <w:ind w:left="195" w:hanging="195" w:hangingChars="93"/>
        <w:rPr>
          <w:rFonts w:hint="eastAsia" w:asciiTheme="minorEastAsia" w:hAnsiTheme="minorEastAsia" w:eastAsiaTheme="minorEastAsia"/>
          <w:sz w:val="24"/>
        </w:rPr>
      </w:pPr>
      <w:r>
        <w:rPr>
          <w:rFonts w:hint="eastAsia" w:asciiTheme="minorEastAsia" w:hAnsiTheme="minorEastAsia" w:eastAsiaTheme="minorEastAsia"/>
          <w:sz w:val="24"/>
        </w:rPr>
        <w:t>　　※　別紙国との対比表も参照</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1"/>
        </w:rPr>
        <w:t>(1)</w:t>
      </w:r>
      <w:r>
        <w:rPr>
          <w:rFonts w:hint="eastAsia" w:asciiTheme="minorEastAsia" w:hAnsiTheme="minorEastAsia" w:eastAsiaTheme="minorEastAsia"/>
          <w:sz w:val="24"/>
        </w:rPr>
        <w:t>　認可制度導入に伴う合併等があったときの監督処分について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（第２、７）</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不正行為等を行った企業に合併等があったときの監督処分について、認可制度（法第</w:t>
      </w:r>
      <w:r>
        <w:rPr>
          <w:rFonts w:hint="eastAsia" w:asciiTheme="minorEastAsia" w:hAnsiTheme="minorEastAsia" w:eastAsiaTheme="minorEastAsia"/>
          <w:sz w:val="24"/>
        </w:rPr>
        <w:t>17</w:t>
      </w:r>
      <w:r>
        <w:rPr>
          <w:rFonts w:hint="eastAsia" w:asciiTheme="minorEastAsia" w:hAnsiTheme="minorEastAsia" w:eastAsiaTheme="minorEastAsia"/>
          <w:sz w:val="24"/>
        </w:rPr>
        <w:t>条の２及び第</w:t>
      </w:r>
      <w:r>
        <w:rPr>
          <w:rFonts w:hint="eastAsia" w:asciiTheme="minorEastAsia" w:hAnsiTheme="minorEastAsia" w:eastAsiaTheme="minorEastAsia"/>
          <w:sz w:val="24"/>
        </w:rPr>
        <w:t>17</w:t>
      </w:r>
      <w:r>
        <w:rPr>
          <w:rFonts w:hint="eastAsia" w:asciiTheme="minorEastAsia" w:hAnsiTheme="minorEastAsia" w:eastAsiaTheme="minorEastAsia"/>
          <w:sz w:val="24"/>
        </w:rPr>
        <w:t>条の３）が制定されたことに伴い、同制度に対応できるよう改正を行った。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2"/>
        </w:rPr>
        <w:t>(2)</w:t>
      </w:r>
      <w:r>
        <w:rPr>
          <w:rFonts w:hint="eastAsia" w:asciiTheme="minorEastAsia" w:hAnsiTheme="minorEastAsia" w:eastAsiaTheme="minorEastAsia"/>
          <w:sz w:val="24"/>
        </w:rPr>
        <w:t>　著しく短い工期に対する建設業者への監督処分について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（第３、１、</w:t>
      </w:r>
      <w:r>
        <w:rPr>
          <w:rFonts w:hint="eastAsia" w:asciiTheme="minorEastAsia" w:hAnsiTheme="minorEastAsia" w:eastAsiaTheme="minorEastAsia"/>
          <w:spacing w:val="0"/>
          <w:w w:val="58"/>
          <w:sz w:val="24"/>
          <w:fitText w:val="210" w:id="3"/>
        </w:rPr>
        <w:t>(2</w:t>
      </w:r>
      <w:r>
        <w:rPr>
          <w:rFonts w:hint="eastAsia" w:asciiTheme="minorEastAsia" w:hAnsiTheme="minorEastAsia" w:eastAsiaTheme="minorEastAsia"/>
          <w:spacing w:val="1"/>
          <w:w w:val="58"/>
          <w:sz w:val="24"/>
          <w:fitText w:val="210" w:id="3"/>
        </w:rPr>
        <w:t>)</w:t>
      </w:r>
      <w:r>
        <w:rPr>
          <w:rFonts w:hint="eastAsia" w:asciiTheme="minorEastAsia" w:hAnsiTheme="minorEastAsia" w:eastAsiaTheme="minorEastAsia"/>
          <w:sz w:val="24"/>
        </w:rPr>
        <w:t>、イ）</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建設業者が法第</w:t>
      </w:r>
      <w:r>
        <w:rPr>
          <w:rFonts w:hint="eastAsia" w:asciiTheme="minorEastAsia" w:hAnsiTheme="minorEastAsia" w:eastAsiaTheme="minorEastAsia"/>
          <w:sz w:val="24"/>
        </w:rPr>
        <w:t>19</w:t>
      </w:r>
      <w:r>
        <w:rPr>
          <w:rFonts w:hint="eastAsia" w:asciiTheme="minorEastAsia" w:hAnsiTheme="minorEastAsia" w:eastAsiaTheme="minorEastAsia"/>
          <w:sz w:val="24"/>
        </w:rPr>
        <w:t>条の５に違反して下請業者と著しく短い工期とした下請契約を締結した場合、特に必要があると認めるときは法第</w:t>
      </w:r>
      <w:r>
        <w:rPr>
          <w:rFonts w:hint="eastAsia" w:asciiTheme="minorEastAsia" w:hAnsiTheme="minorEastAsia" w:eastAsiaTheme="minorEastAsia"/>
          <w:sz w:val="24"/>
        </w:rPr>
        <w:t>41</w:t>
      </w:r>
      <w:r>
        <w:rPr>
          <w:rFonts w:hint="eastAsia" w:asciiTheme="minorEastAsia" w:hAnsiTheme="minorEastAsia" w:eastAsiaTheme="minorEastAsia"/>
          <w:sz w:val="24"/>
        </w:rPr>
        <w:t>条に基づく勧告や法第</w:t>
      </w:r>
      <w:r>
        <w:rPr>
          <w:rFonts w:hint="eastAsia" w:asciiTheme="minorEastAsia" w:hAnsiTheme="minorEastAsia" w:eastAsiaTheme="minorEastAsia"/>
          <w:sz w:val="24"/>
        </w:rPr>
        <w:t>28</w:t>
      </w:r>
      <w:r>
        <w:rPr>
          <w:rFonts w:hint="eastAsia" w:asciiTheme="minorEastAsia" w:hAnsiTheme="minorEastAsia" w:eastAsiaTheme="minorEastAsia"/>
          <w:sz w:val="24"/>
        </w:rPr>
        <w:t>条に基づく指示処分ができるよう改正を行った。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4"/>
        </w:rPr>
        <w:t>(3)</w:t>
      </w:r>
      <w:r>
        <w:rPr>
          <w:rFonts w:hint="eastAsia" w:asciiTheme="minorEastAsia" w:hAnsiTheme="minorEastAsia" w:eastAsiaTheme="minorEastAsia"/>
          <w:sz w:val="24"/>
        </w:rPr>
        <w:t>　特定専門工事を主任技術者等の不設置等の例外にすることについて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（第３、２、</w:t>
      </w:r>
      <w:r>
        <w:rPr>
          <w:rFonts w:hint="eastAsia" w:asciiTheme="minorEastAsia" w:hAnsiTheme="minorEastAsia" w:eastAsiaTheme="minorEastAsia"/>
          <w:spacing w:val="0"/>
          <w:w w:val="58"/>
          <w:sz w:val="24"/>
          <w:fitText w:val="210" w:id="5"/>
        </w:rPr>
        <w:t>(3</w:t>
      </w:r>
      <w:r>
        <w:rPr>
          <w:rFonts w:hint="eastAsia" w:asciiTheme="minorEastAsia" w:hAnsiTheme="minorEastAsia" w:eastAsiaTheme="minorEastAsia"/>
          <w:spacing w:val="1"/>
          <w:w w:val="58"/>
          <w:sz w:val="24"/>
          <w:fitText w:val="210" w:id="5"/>
        </w:rPr>
        <w:t>)</w:t>
      </w:r>
      <w:r>
        <w:rPr>
          <w:rFonts w:hint="eastAsia" w:asciiTheme="minorEastAsia" w:hAnsiTheme="minorEastAsia" w:eastAsiaTheme="minorEastAsia"/>
          <w:sz w:val="24"/>
        </w:rPr>
        <w:t>、イ）</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法第</w:t>
      </w:r>
      <w:r>
        <w:rPr>
          <w:rFonts w:hint="eastAsia" w:asciiTheme="minorEastAsia" w:hAnsiTheme="minorEastAsia" w:eastAsiaTheme="minorEastAsia"/>
          <w:sz w:val="24"/>
        </w:rPr>
        <w:t>26</w:t>
      </w:r>
      <w:r>
        <w:rPr>
          <w:rFonts w:hint="eastAsia" w:asciiTheme="minorEastAsia" w:hAnsiTheme="minorEastAsia" w:eastAsiaTheme="minorEastAsia"/>
          <w:sz w:val="24"/>
        </w:rPr>
        <w:t>条の３第１項の規定に基づき特定専門工事の下請負人が主任技術者を置くことを要しないことから、当該工事を主任技術者等の不設置等の例外とするよう改正を行った。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6"/>
        </w:rPr>
        <w:t>(4)</w:t>
      </w:r>
      <w:r>
        <w:rPr>
          <w:rFonts w:hint="eastAsia" w:asciiTheme="minorEastAsia" w:hAnsiTheme="minorEastAsia" w:eastAsiaTheme="minorEastAsia"/>
          <w:sz w:val="24"/>
        </w:rPr>
        <w:t>　建設資材が起因となる建築基準法違反への監督処分について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第３、２、</w:t>
      </w:r>
      <w:r>
        <w:rPr>
          <w:rFonts w:hint="eastAsia" w:asciiTheme="minorEastAsia" w:hAnsiTheme="minorEastAsia" w:eastAsiaTheme="minorEastAsia"/>
          <w:spacing w:val="1"/>
          <w:w w:val="66"/>
          <w:sz w:val="24"/>
          <w:fitText w:val="240" w:id="7"/>
        </w:rPr>
        <w:t>(4)</w:t>
      </w:r>
      <w:r>
        <w:rPr>
          <w:rFonts w:hint="eastAsia" w:asciiTheme="minorEastAsia" w:hAnsiTheme="minorEastAsia" w:eastAsiaTheme="minorEastAsia"/>
          <w:sz w:val="24"/>
        </w:rPr>
        <w:t>、イ、</w:t>
      </w:r>
      <w:r>
        <w:rPr>
          <w:rFonts w:hint="eastAsia" w:asciiTheme="minorEastAsia" w:hAnsiTheme="minorEastAsia" w:eastAsiaTheme="minorEastAsia"/>
          <w:spacing w:val="1"/>
          <w:w w:val="66"/>
          <w:sz w:val="24"/>
          <w:fitText w:val="240" w:id="8"/>
        </w:rPr>
        <w:t>(</w:t>
      </w:r>
      <w:r>
        <w:rPr>
          <w:rFonts w:hint="eastAsia" w:asciiTheme="minorEastAsia" w:hAnsiTheme="minorEastAsia" w:eastAsiaTheme="minorEastAsia"/>
          <w:spacing w:val="1"/>
          <w:w w:val="66"/>
          <w:sz w:val="24"/>
          <w:fitText w:val="240" w:id="8"/>
        </w:rPr>
        <w:t>ｱ</w:t>
      </w:r>
      <w:r>
        <w:rPr>
          <w:rFonts w:hint="eastAsia" w:asciiTheme="minorEastAsia" w:hAnsiTheme="minorEastAsia" w:eastAsiaTheme="minorEastAsia"/>
          <w:spacing w:val="0"/>
          <w:w w:val="66"/>
          <w:sz w:val="24"/>
          <w:fitText w:val="240" w:id="8"/>
        </w:rPr>
        <w:t>)</w:t>
      </w:r>
      <w:r>
        <w:rPr>
          <w:rFonts w:hint="eastAsia" w:asciiTheme="minorEastAsia" w:hAnsiTheme="minorEastAsia" w:eastAsiaTheme="minorEastAsia"/>
          <w:sz w:val="24"/>
        </w:rPr>
        <w:t>、ｃ</w:t>
      </w:r>
      <w:r>
        <w:rPr>
          <w:rFonts w:hint="eastAsia" w:asciiTheme="minorEastAsia" w:hAnsiTheme="minorEastAsia" w:eastAsiaTheme="minorEastAsia"/>
          <w:sz w:val="24"/>
        </w:rPr>
        <w:t>)</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建築基準法違反が建設資材に起因すると認められた場合に、勧告を踏まえ</w:t>
      </w:r>
      <w:bookmarkStart w:id="0" w:name="_GoBack"/>
      <w:bookmarkEnd w:id="0"/>
      <w:r>
        <w:rPr>
          <w:rFonts w:hint="eastAsia" w:asciiTheme="minorEastAsia" w:hAnsiTheme="minorEastAsia" w:eastAsiaTheme="minorEastAsia"/>
          <w:sz w:val="24"/>
        </w:rPr>
        <w:t>必要に応じて指示処分ができるよう改正を行った。</w:t>
      </w:r>
    </w:p>
    <w:p>
      <w:pPr>
        <w:pStyle w:val="0"/>
        <w:ind w:left="421" w:leftChars="86" w:hanging="240" w:hangingChars="100"/>
        <w:rPr>
          <w:rFonts w:hint="eastAsia" w:asciiTheme="minorEastAsia" w:hAnsiTheme="minorEastAsia" w:eastAsiaTheme="minorEastAsia"/>
          <w:sz w:val="24"/>
        </w:rPr>
      </w:pP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9"/>
        </w:rPr>
        <w:t>(5)</w:t>
      </w:r>
      <w:r>
        <w:rPr>
          <w:rFonts w:hint="eastAsia" w:asciiTheme="minorEastAsia" w:hAnsiTheme="minorEastAsia" w:eastAsiaTheme="minorEastAsia"/>
          <w:sz w:val="24"/>
        </w:rPr>
        <w:t>　法人の他法令違反にかかる監督処分の適用について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第３、２、</w:t>
      </w:r>
      <w:r>
        <w:rPr>
          <w:rFonts w:hint="eastAsia" w:asciiTheme="minorEastAsia" w:hAnsiTheme="minorEastAsia" w:eastAsiaTheme="minorEastAsia"/>
          <w:spacing w:val="1"/>
          <w:w w:val="66"/>
          <w:sz w:val="24"/>
          <w:fitText w:val="240" w:id="10"/>
        </w:rPr>
        <w:t>(4)</w:t>
      </w:r>
      <w:r>
        <w:rPr>
          <w:rFonts w:hint="eastAsia" w:asciiTheme="minorEastAsia" w:hAnsiTheme="minorEastAsia" w:eastAsiaTheme="minorEastAsia"/>
          <w:sz w:val="24"/>
        </w:rPr>
        <w:t>）</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他法令違反に基づく法人に対する監督処分は、役員等及び法人自体に他法令違反が認められる場合に、役職員と同じ基準でできるよう改正を行った。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11"/>
        </w:rPr>
        <w:t>(6)</w:t>
      </w:r>
      <w:r>
        <w:rPr>
          <w:rFonts w:hint="eastAsia" w:asciiTheme="minorEastAsia" w:hAnsiTheme="minorEastAsia" w:eastAsiaTheme="minorEastAsia"/>
          <w:sz w:val="24"/>
        </w:rPr>
        <w:t>　「役職員」の定義等について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（第２、３、</w:t>
      </w:r>
      <w:r>
        <w:rPr>
          <w:rFonts w:hint="eastAsia" w:asciiTheme="minorEastAsia" w:hAnsiTheme="minorEastAsia" w:eastAsiaTheme="minorEastAsia"/>
          <w:spacing w:val="0"/>
          <w:w w:val="58"/>
          <w:sz w:val="24"/>
          <w:fitText w:val="210" w:id="12"/>
        </w:rPr>
        <w:t>(2</w:t>
      </w:r>
      <w:r>
        <w:rPr>
          <w:rFonts w:hint="eastAsia" w:asciiTheme="minorEastAsia" w:hAnsiTheme="minorEastAsia" w:eastAsiaTheme="minorEastAsia"/>
          <w:spacing w:val="1"/>
          <w:w w:val="58"/>
          <w:sz w:val="24"/>
          <w:fitText w:val="210" w:id="12"/>
        </w:rPr>
        <w:t>)</w:t>
      </w:r>
      <w:r>
        <w:rPr>
          <w:rFonts w:hint="eastAsia" w:asciiTheme="minorEastAsia" w:hAnsiTheme="minorEastAsia" w:eastAsiaTheme="minorEastAsia"/>
          <w:sz w:val="24"/>
        </w:rPr>
        <w:t>）</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z w:val="24"/>
        </w:rPr>
        <w:t>　　「役職員」を「役員等又は他の職員」と定義するよう改正を行った。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13"/>
        </w:rPr>
        <w:t>(7)</w:t>
      </w:r>
      <w:r>
        <w:rPr>
          <w:rFonts w:hint="eastAsia" w:asciiTheme="minorEastAsia" w:hAnsiTheme="minorEastAsia" w:eastAsiaTheme="minorEastAsia"/>
          <w:sz w:val="24"/>
        </w:rPr>
        <w:t>　具体的基準の記載順について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（第３、２）</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具体的基準の違反項目の順番について国の改正内容に合わせて並べ替えを行った。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14"/>
        </w:rPr>
        <w:t>(8)</w:t>
      </w:r>
      <w:r>
        <w:rPr>
          <w:rFonts w:hint="eastAsia" w:asciiTheme="minorEastAsia" w:hAnsiTheme="minorEastAsia" w:eastAsiaTheme="minorEastAsia"/>
          <w:sz w:val="24"/>
        </w:rPr>
        <w:t>　その他</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z w:val="24"/>
        </w:rPr>
        <w:t>　　語句や記号について静岡県のルールに基づく所要の改正を行った</w:t>
      </w:r>
    </w:p>
    <w:p>
      <w:pPr>
        <w:pStyle w:val="0"/>
        <w:ind w:left="517" w:hanging="517" w:hangingChars="246"/>
        <w:rPr>
          <w:rFonts w:hint="eastAsia" w:asciiTheme="minorEastAsia" w:hAnsiTheme="minorEastAsia" w:eastAsiaTheme="minorEastAsia"/>
          <w:sz w:val="24"/>
        </w:rPr>
      </w:pPr>
    </w:p>
    <w:p>
      <w:pPr>
        <w:pStyle w:val="0"/>
        <w:ind w:left="517" w:hanging="517" w:hangingChars="246"/>
        <w:rPr>
          <w:rFonts w:hint="eastAsia" w:asciiTheme="minorEastAsia" w:hAnsiTheme="minorEastAsia" w:eastAsiaTheme="minorEastAsia"/>
          <w:sz w:val="24"/>
        </w:rPr>
      </w:pPr>
      <w:r>
        <w:rPr>
          <w:rFonts w:hint="eastAsia" w:asciiTheme="minorEastAsia" w:hAnsiTheme="minorEastAsia" w:eastAsiaTheme="minorEastAsia"/>
          <w:sz w:val="24"/>
        </w:rPr>
        <w:t>３　改正県基準の適用時期</w:t>
      </w:r>
    </w:p>
    <w:p>
      <w:pPr>
        <w:pStyle w:val="0"/>
        <w:ind w:left="193" w:leftChars="92" w:firstLine="195" w:firstLineChars="93"/>
        <w:rPr>
          <w:rFonts w:hint="eastAsia" w:asciiTheme="minorEastAsia" w:hAnsiTheme="minorEastAsia" w:eastAsiaTheme="minorEastAsia"/>
          <w:sz w:val="24"/>
        </w:rPr>
      </w:pPr>
      <w:r>
        <w:rPr>
          <w:rFonts w:hint="eastAsia" w:asciiTheme="minorEastAsia" w:hAnsiTheme="minorEastAsia" w:eastAsiaTheme="minorEastAsia"/>
          <w:sz w:val="24"/>
        </w:rPr>
        <w:t>今回の改正は、国の改正と同様に、改正県基準日施行以降に行われた不正行為等から適用するものとする。</w:t>
      </w:r>
    </w:p>
    <w:p>
      <w:pPr>
        <w:pStyle w:val="0"/>
        <w:rPr>
          <w:rFonts w:hint="eastAsia" w:asciiTheme="minorEastAsia" w:hAnsiTheme="minorEastAsia" w:eastAsiaTheme="minorEastAsia"/>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2</Pages>
  <Words>21</Words>
  <Characters>1189</Characters>
  <Application>JUST Note</Application>
  <Lines>53</Lines>
  <Paragraphs>31</Paragraphs>
  <CharactersWithSpaces>1219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渥美　浩行</dc:creator>
  <cp:lastModifiedBy>渥美　浩行</cp:lastModifiedBy>
  <cp:lastPrinted>2021-02-01T04:17:38Z</cp:lastPrinted>
  <dcterms:created xsi:type="dcterms:W3CDTF">2020-10-30T04:50:00Z</dcterms:created>
  <dcterms:modified xsi:type="dcterms:W3CDTF">2021-01-29T01:13:22Z</dcterms:modified>
  <cp:revision>1</cp:revision>
</cp:coreProperties>
</file>