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left="195" w:hanging="195" w:hangingChars="93"/>
        <w:rPr>
          <w:rFonts w:hint="eastAsia" w:ascii="ＭＳ 明朝" w:hAnsi="ＭＳ 明朝"/>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212090</wp:posOffset>
                </wp:positionH>
                <wp:positionV relativeFrom="paragraph">
                  <wp:posOffset>-141605</wp:posOffset>
                </wp:positionV>
                <wp:extent cx="6054090" cy="63944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054090" cy="63944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HG丸ｺﾞｼｯｸM-PRO" w:hAnsi="HG丸ｺﾞｼｯｸM-PRO" w:eastAsia="HG丸ｺﾞｼｯｸM-PRO"/>
                                <w:sz w:val="44"/>
                              </w:rPr>
                              <w:t>建設業者への監督処分の基準を改正しました。</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11.15pt;margin-left:16.7pt;mso-position-horizontal-relative:text;mso-position-vertical-relative:text;position:absolute;height:50.35pt;width:476.7pt;z-index:3;"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HG丸ｺﾞｼｯｸM-PRO" w:hAnsi="HG丸ｺﾞｼｯｸM-PRO" w:eastAsia="HG丸ｺﾞｼｯｸM-PRO"/>
                          <w:sz w:val="44"/>
                        </w:rPr>
                        <w:t>建設業者への監督処分の基準を改正しました。</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133350</wp:posOffset>
                </wp:positionH>
                <wp:positionV relativeFrom="paragraph">
                  <wp:posOffset>-228600</wp:posOffset>
                </wp:positionV>
                <wp:extent cx="5871845" cy="6394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871845" cy="639445"/>
                        </a:xfrm>
                        <a:prstGeom prst="round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top:0pt;mso-wrap-distance-right:16pt;mso-wrap-distance-left:16pt;mso-wrap-distance-bottom:0pt;margin-top:-18pt;margin-left:10.5pt;mso-position-horizontal-relative:text;mso-position-vertical-relative:text;position:absolute;height:50.35pt;width:462.35pt;z-index:2;" o:spid="_x0000_s1027" o:allowincell="t" o:allowoverlap="t" filled="f" stroked="t" strokecolor="#000000 [3213]" strokeweight="2pt" o:spt="2" arcsize="10923f">
                <v:fill/>
                <v:stroke linestyle="single" endcap="flat" dashstyle="solid" filltype="solid"/>
                <v:textbox style="layout-flow:horizontal;"/>
                <v:imagedata o:title=""/>
                <w10:wrap type="none" anchorx="text" anchory="text"/>
              </v:roundrect>
            </w:pict>
          </mc:Fallback>
        </mc:AlternateContent>
      </w:r>
    </w:p>
    <w:p>
      <w:pPr>
        <w:pStyle w:val="0"/>
        <w:ind w:left="195" w:hanging="195" w:hangingChars="93"/>
        <w:rPr>
          <w:rFonts w:hint="eastAsia" w:ascii="ＭＳ 明朝" w:hAnsi="ＭＳ 明朝"/>
          <w:sz w:val="24"/>
        </w:rPr>
      </w:pPr>
    </w:p>
    <w:p>
      <w:pPr>
        <w:pStyle w:val="0"/>
        <w:ind w:left="195" w:hanging="195" w:hangingChars="93"/>
        <w:rPr>
          <w:rFonts w:hint="eastAsia" w:ascii="ＭＳ 明朝" w:hAnsi="ＭＳ 明朝"/>
          <w:sz w:val="24"/>
        </w:rPr>
      </w:pPr>
    </w:p>
    <w:p>
      <w:pPr>
        <w:pStyle w:val="0"/>
        <w:ind w:left="195" w:hanging="195" w:hangingChars="93"/>
        <w:rPr>
          <w:rFonts w:hint="eastAsia" w:ascii="ＭＳ 明朝" w:hAnsi="ＭＳ 明朝"/>
          <w:sz w:val="24"/>
        </w:rPr>
      </w:pPr>
      <w:bookmarkStart w:id="0" w:name="_GoBack"/>
      <w:bookmarkEnd w:id="0"/>
    </w:p>
    <w:p>
      <w:pPr>
        <w:pStyle w:val="0"/>
        <w:spacing w:line="460" w:lineRule="exact"/>
        <w:ind w:leftChars="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建設業法の改正に伴い、国が建設業者への監督処分の基準を改正したことから、国の基準に準拠している静岡県の建設業者への監督処分基準を改正しました。</w:t>
      </w:r>
    </w:p>
    <w:p>
      <w:pPr>
        <w:pStyle w:val="0"/>
        <w:spacing w:line="460" w:lineRule="exact"/>
        <w:ind w:left="195" w:leftChars="93" w:firstLine="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主な改正内容は次のとおりです。</w:t>
      </w:r>
    </w:p>
    <w:p>
      <w:pPr>
        <w:pStyle w:val="0"/>
        <w:spacing w:line="460" w:lineRule="exact"/>
        <w:ind w:left="195" w:hanging="195" w:hangingChars="93"/>
        <w:rPr>
          <w:rFonts w:hint="eastAsia" w:ascii="HG丸ｺﾞｼｯｸM-PRO" w:hAnsi="HG丸ｺﾞｼｯｸM-PRO" w:eastAsia="HG丸ｺﾞｼｯｸM-PRO"/>
          <w:sz w:val="28"/>
        </w:rPr>
      </w:pPr>
    </w:p>
    <w:p>
      <w:pPr>
        <w:pStyle w:val="0"/>
        <w:spacing w:line="460" w:lineRule="exact"/>
        <w:ind w:leftChars="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○認可制度導入に伴う監督処分の取扱いについて</w:t>
      </w:r>
    </w:p>
    <w:p>
      <w:pPr>
        <w:pStyle w:val="0"/>
        <w:spacing w:line="460" w:lineRule="exact"/>
        <w:ind w:leftChars="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認可制度（法第</w:t>
      </w:r>
      <w:r>
        <w:rPr>
          <w:rFonts w:hint="eastAsia" w:ascii="HG丸ｺﾞｼｯｸM-PRO" w:hAnsi="HG丸ｺﾞｼｯｸM-PRO" w:eastAsia="HG丸ｺﾞｼｯｸM-PRO"/>
          <w:sz w:val="28"/>
        </w:rPr>
        <w:t>17</w:t>
      </w:r>
      <w:r>
        <w:rPr>
          <w:rFonts w:hint="eastAsia" w:ascii="HG丸ｺﾞｼｯｸM-PRO" w:hAnsi="HG丸ｺﾞｼｯｸM-PRO" w:eastAsia="HG丸ｺﾞｼｯｸM-PRO"/>
          <w:sz w:val="28"/>
        </w:rPr>
        <w:t>条の２及び第</w:t>
      </w:r>
      <w:r>
        <w:rPr>
          <w:rFonts w:hint="eastAsia" w:ascii="HG丸ｺﾞｼｯｸM-PRO" w:hAnsi="HG丸ｺﾞｼｯｸM-PRO" w:eastAsia="HG丸ｺﾞｼｯｸM-PRO"/>
          <w:sz w:val="28"/>
        </w:rPr>
        <w:t>17</w:t>
      </w:r>
      <w:r>
        <w:rPr>
          <w:rFonts w:hint="eastAsia" w:ascii="HG丸ｺﾞｼｯｸM-PRO" w:hAnsi="HG丸ｺﾞｼｯｸM-PRO" w:eastAsia="HG丸ｺﾞｼｯｸM-PRO"/>
          <w:sz w:val="28"/>
        </w:rPr>
        <w:t>条の３）が制定されたことに伴い、この制度により建設業者の権利を継承した業者については、処分の効果も同様に承継するようにしました。</w:t>
      </w:r>
    </w:p>
    <w:p>
      <w:pPr>
        <w:pStyle w:val="0"/>
        <w:spacing w:line="460" w:lineRule="exact"/>
        <w:ind w:leftChars="0" w:firstLineChars="0"/>
        <w:rPr>
          <w:rFonts w:hint="eastAsia" w:ascii="HG丸ｺﾞｼｯｸM-PRO" w:hAnsi="HG丸ｺﾞｼｯｸM-PRO" w:eastAsia="HG丸ｺﾞｼｯｸM-PRO"/>
          <w:sz w:val="28"/>
        </w:rPr>
      </w:pPr>
    </w:p>
    <w:p>
      <w:pPr>
        <w:pStyle w:val="0"/>
        <w:spacing w:line="460" w:lineRule="exact"/>
        <w:ind w:leftChars="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○著しく短い工期に対する建設業者への監督処分について</w:t>
      </w:r>
    </w:p>
    <w:p>
      <w:pPr>
        <w:pStyle w:val="0"/>
        <w:spacing w:line="460" w:lineRule="exact"/>
        <w:ind w:leftChars="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下請業者と著しく短い工期とした下請契約を締結した場合、発注者等に対して法第</w:t>
      </w:r>
      <w:r>
        <w:rPr>
          <w:rFonts w:hint="eastAsia" w:ascii="HG丸ｺﾞｼｯｸM-PRO" w:hAnsi="HG丸ｺﾞｼｯｸM-PRO" w:eastAsia="HG丸ｺﾞｼｯｸM-PRO"/>
          <w:sz w:val="28"/>
        </w:rPr>
        <w:t>41</w:t>
      </w:r>
      <w:r>
        <w:rPr>
          <w:rFonts w:hint="eastAsia" w:ascii="HG丸ｺﾞｼｯｸM-PRO" w:hAnsi="HG丸ｺﾞｼｯｸM-PRO" w:eastAsia="HG丸ｺﾞｼｯｸM-PRO"/>
          <w:sz w:val="28"/>
        </w:rPr>
        <w:t>条に基づく勧告や法第</w:t>
      </w:r>
      <w:r>
        <w:rPr>
          <w:rFonts w:hint="eastAsia" w:ascii="HG丸ｺﾞｼｯｸM-PRO" w:hAnsi="HG丸ｺﾞｼｯｸM-PRO" w:eastAsia="HG丸ｺﾞｼｯｸM-PRO"/>
          <w:sz w:val="28"/>
        </w:rPr>
        <w:t>28</w:t>
      </w:r>
      <w:r>
        <w:rPr>
          <w:rFonts w:hint="eastAsia" w:ascii="HG丸ｺﾞｼｯｸM-PRO" w:hAnsi="HG丸ｺﾞｼｯｸM-PRO" w:eastAsia="HG丸ｺﾞｼｯｸM-PRO"/>
          <w:sz w:val="28"/>
        </w:rPr>
        <w:t>条に基づく指示処分ができるようにしました。</w:t>
      </w:r>
    </w:p>
    <w:p>
      <w:pPr>
        <w:pStyle w:val="0"/>
        <w:spacing w:line="460" w:lineRule="exact"/>
        <w:ind w:leftChars="0" w:firstLineChars="0"/>
        <w:rPr>
          <w:rFonts w:hint="eastAsia" w:ascii="HG丸ｺﾞｼｯｸM-PRO" w:hAnsi="HG丸ｺﾞｼｯｸM-PRO" w:eastAsia="HG丸ｺﾞｼｯｸM-PRO"/>
          <w:sz w:val="28"/>
        </w:rPr>
      </w:pPr>
    </w:p>
    <w:p>
      <w:pPr>
        <w:pStyle w:val="0"/>
        <w:spacing w:line="460" w:lineRule="exact"/>
        <w:ind w:leftChars="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○特定専門工事における主任技術者の取扱について</w:t>
      </w:r>
    </w:p>
    <w:p>
      <w:pPr>
        <w:pStyle w:val="0"/>
        <w:spacing w:line="460" w:lineRule="exact"/>
        <w:ind w:leftChars="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特定専門工事の下請負人は主任技術者を置く必要がないことから、当該工事においては主任技術者等を設置しない場合でも処分しないとするようにしました。</w:t>
      </w:r>
    </w:p>
    <w:p>
      <w:pPr>
        <w:pStyle w:val="0"/>
        <w:spacing w:line="460" w:lineRule="exact"/>
        <w:ind w:leftChars="0" w:firstLineChars="0"/>
        <w:rPr>
          <w:rFonts w:hint="eastAsia" w:ascii="HG丸ｺﾞｼｯｸM-PRO" w:hAnsi="HG丸ｺﾞｼｯｸM-PRO" w:eastAsia="HG丸ｺﾞｼｯｸM-PRO"/>
          <w:sz w:val="28"/>
        </w:rPr>
      </w:pPr>
    </w:p>
    <w:p>
      <w:pPr>
        <w:pStyle w:val="0"/>
        <w:spacing w:line="460" w:lineRule="exact"/>
        <w:ind w:leftChars="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○建設資材が起因となる違反の監督処分について</w:t>
      </w:r>
    </w:p>
    <w:p>
      <w:pPr>
        <w:pStyle w:val="0"/>
        <w:spacing w:line="460" w:lineRule="exact"/>
        <w:ind w:leftChars="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建設資材に起因する建築基準法違反の場合に、資材の製造業者に対して勧告以外に必要に応じて指示処分ができるようにしました。</w:t>
      </w:r>
    </w:p>
    <w:p>
      <w:pPr>
        <w:pStyle w:val="0"/>
        <w:spacing w:line="460" w:lineRule="exact"/>
        <w:ind w:left="517" w:hanging="517" w:hangingChars="246"/>
        <w:rPr>
          <w:rFonts w:hint="eastAsia" w:ascii="HG丸ｺﾞｼｯｸM-PRO" w:hAnsi="HG丸ｺﾞｼｯｸM-PRO" w:eastAsia="HG丸ｺﾞｼｯｸM-PRO"/>
          <w:sz w:val="28"/>
        </w:rPr>
      </w:pPr>
    </w:p>
    <w:p>
      <w:pPr>
        <w:pStyle w:val="0"/>
        <w:spacing w:line="460" w:lineRule="exact"/>
        <w:ind w:leftChars="0" w:firstLine="208" w:firstLineChars="65"/>
        <w:rPr>
          <w:rFonts w:hint="eastAsia" w:asciiTheme="minorEastAsia" w:hAnsiTheme="minorEastAsia" w:eastAsiaTheme="minorEastAsia"/>
          <w:sz w:val="28"/>
        </w:rPr>
      </w:pPr>
      <w:r>
        <w:rPr>
          <w:rFonts w:hint="eastAsia" w:ascii="HG丸ｺﾞｼｯｸM-PRO" w:hAnsi="HG丸ｺﾞｼｯｸM-PRO" w:eastAsia="HG丸ｺﾞｼｯｸM-PRO"/>
          <w:sz w:val="28"/>
        </w:rPr>
        <w:t>また、国の基準改正に合わせて、個別基準の項目の並び替えを行いました。</w:t>
      </w:r>
    </w:p>
    <w:p>
      <w:pPr>
        <w:pStyle w:val="0"/>
        <w:spacing w:line="460" w:lineRule="exact"/>
        <w:ind w:leftChars="0" w:firstLine="208" w:firstLineChars="65"/>
        <w:rPr>
          <w:rFonts w:hint="eastAsia" w:asciiTheme="minorEastAsia" w:hAnsiTheme="minorEastAsia" w:eastAsiaTheme="minorEastAsia"/>
          <w:sz w:val="28"/>
        </w:rPr>
      </w:pPr>
      <w:r>
        <w:rPr>
          <w:rFonts w:hint="eastAsia" w:ascii="HG丸ｺﾞｼｯｸM-PRO" w:hAnsi="HG丸ｺﾞｼｯｸM-PRO" w:eastAsia="HG丸ｺﾞｼｯｸM-PRO"/>
          <w:sz w:val="28"/>
        </w:rPr>
        <w:t>今回の改正は、国の改正と同様に、改正日以降に行われた不正行為等から適用します。</w:t>
      </w:r>
    </w:p>
    <w:p>
      <w:pPr>
        <w:pStyle w:val="0"/>
        <w:spacing w:line="460" w:lineRule="exact"/>
        <w:ind w:leftChars="0" w:firstLine="156" w:firstLineChars="65"/>
        <w:rPr>
          <w:rFonts w:hint="eastAsia" w:asciiTheme="minorEastAsia" w:hAnsiTheme="minorEastAsia" w:eastAsiaTheme="minorEastAsia"/>
          <w:sz w:val="24"/>
        </w:rPr>
      </w:pPr>
    </w:p>
    <w:p>
      <w:pPr>
        <w:pStyle w:val="0"/>
        <w:spacing w:line="460" w:lineRule="exact"/>
        <w:ind w:left="0" w:leftChars="0" w:firstLine="0" w:firstLineChars="0"/>
        <w:jc w:val="right"/>
        <w:rPr>
          <w:rFonts w:hint="eastAsia" w:ascii="HG丸ｺﾞｼｯｸM-PRO" w:hAnsi="HG丸ｺﾞｼｯｸM-PRO" w:eastAsia="HG丸ｺﾞｼｯｸM-PRO"/>
          <w:sz w:val="44"/>
        </w:rPr>
      </w:pPr>
      <w:r>
        <w:rPr>
          <w:rFonts w:hint="eastAsia" w:ascii="HG丸ｺﾞｼｯｸM-PRO" w:hAnsi="HG丸ｺﾞｼｯｸM-PRO" w:eastAsia="HG丸ｺﾞｼｯｸM-PRO"/>
          <w:sz w:val="44"/>
        </w:rPr>
        <w:t>静岡県交通基盤部建設支援局建設業課</w:t>
      </w:r>
    </w:p>
    <w:sectPr>
      <w:pgSz w:w="11906" w:h="16838"/>
      <w:pgMar w:top="1080" w:right="1080" w:bottom="818"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73"/>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TotalTime>
  <Pages>1</Pages>
  <Words>0</Words>
  <Characters>0</Characters>
  <Application>JUST Note</Application>
  <Lines>0</Lines>
  <Paragraphs>0</Paragraphs>
  <CharactersWithSpaces>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渥美　浩行</dc:creator>
  <cp:lastModifiedBy>渥美　浩行</cp:lastModifiedBy>
  <cp:lastPrinted>2021-02-01T04:20:05Z</cp:lastPrinted>
  <dcterms:created xsi:type="dcterms:W3CDTF">2021-01-29T00:52:00Z</dcterms:created>
  <dcterms:modified xsi:type="dcterms:W3CDTF">2021-02-02T02:38:11Z</dcterms:modified>
  <cp:revision>1</cp:revision>
</cp:coreProperties>
</file>